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99"/>
        <w:gridCol w:w="2560"/>
        <w:gridCol w:w="1999"/>
        <w:gridCol w:w="1999"/>
        <w:gridCol w:w="1999"/>
        <w:gridCol w:w="4748"/>
      </w:tblGrid>
      <w:tr w:rsidR="00E02A0C" w:rsidRPr="00E02A0C" w:rsidTr="004455A2">
        <w:tc>
          <w:tcPr>
            <w:tcW w:w="1999" w:type="dxa"/>
          </w:tcPr>
          <w:p w:rsidR="00E02A0C" w:rsidRPr="00E02A0C" w:rsidRDefault="00E02A0C" w:rsidP="004B759D">
            <w:pPr>
              <w:rPr>
                <w:rFonts w:ascii="Cambria" w:hAnsi="Cambria"/>
                <w:sz w:val="16"/>
                <w:szCs w:val="16"/>
              </w:rPr>
            </w:pPr>
            <w:r w:rsidRPr="00E02A0C"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629728" cy="687745"/>
                  <wp:effectExtent l="0" t="0" r="0" b="0"/>
                  <wp:docPr id="4" name="Picture 7" descr="Hasil gambar untuk logo uin suska ri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sil gambar untuk logo uin suska ri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57" cy="70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5" w:type="dxa"/>
            <w:gridSpan w:val="5"/>
          </w:tcPr>
          <w:p w:rsidR="00E02A0C" w:rsidRPr="00E02A0C" w:rsidRDefault="00E02A0C" w:rsidP="00E02A0C">
            <w:pPr>
              <w:rPr>
                <w:rFonts w:ascii="Cambria" w:hAnsi="Cambria"/>
                <w:b/>
                <w:sz w:val="32"/>
                <w:szCs w:val="40"/>
              </w:rPr>
            </w:pPr>
            <w:r w:rsidRPr="00E02A0C">
              <w:rPr>
                <w:rFonts w:ascii="Cambria" w:hAnsi="Cambria"/>
                <w:b/>
                <w:sz w:val="32"/>
                <w:szCs w:val="40"/>
              </w:rPr>
              <w:t xml:space="preserve">PROGRAM STUDI PENDIDIKAN </w:t>
            </w:r>
            <w:proofErr w:type="spellStart"/>
            <w:r w:rsidRPr="00E02A0C">
              <w:rPr>
                <w:rFonts w:ascii="Cambria" w:hAnsi="Cambria"/>
                <w:b/>
                <w:sz w:val="32"/>
                <w:szCs w:val="40"/>
              </w:rPr>
              <w:t>PENDIDIKAN</w:t>
            </w:r>
            <w:proofErr w:type="spellEnd"/>
            <w:r w:rsidRPr="00E02A0C">
              <w:rPr>
                <w:rFonts w:ascii="Cambria" w:hAnsi="Cambria"/>
                <w:b/>
                <w:sz w:val="32"/>
                <w:szCs w:val="40"/>
              </w:rPr>
              <w:t xml:space="preserve"> BAHASA INDONESIA</w:t>
            </w:r>
          </w:p>
          <w:p w:rsidR="00E02A0C" w:rsidRPr="00E02A0C" w:rsidRDefault="00E02A0C" w:rsidP="00E02A0C">
            <w:pPr>
              <w:rPr>
                <w:rFonts w:ascii="Cambria" w:hAnsi="Cambria"/>
                <w:b/>
                <w:sz w:val="32"/>
                <w:szCs w:val="40"/>
              </w:rPr>
            </w:pPr>
            <w:r w:rsidRPr="00E02A0C">
              <w:rPr>
                <w:rFonts w:ascii="Cambria" w:hAnsi="Cambria"/>
                <w:b/>
                <w:sz w:val="32"/>
                <w:szCs w:val="40"/>
              </w:rPr>
              <w:t xml:space="preserve">FAKULTAS TARBIYAH DAN KEGURUAN </w:t>
            </w:r>
          </w:p>
          <w:p w:rsidR="00E02A0C" w:rsidRPr="00E02A0C" w:rsidRDefault="00E02A0C">
            <w:pPr>
              <w:rPr>
                <w:rFonts w:ascii="Cambria" w:hAnsi="Cambria"/>
                <w:sz w:val="16"/>
                <w:szCs w:val="16"/>
              </w:rPr>
            </w:pPr>
            <w:r w:rsidRPr="00E02A0C">
              <w:rPr>
                <w:rFonts w:ascii="Cambria" w:hAnsi="Cambria"/>
                <w:b/>
                <w:sz w:val="32"/>
                <w:szCs w:val="40"/>
              </w:rPr>
              <w:t>UNIVERSITAS ISLAM NEGERI SULTAN SYARIF KASIM RIAU</w:t>
            </w:r>
          </w:p>
        </w:tc>
      </w:tr>
      <w:tr w:rsidR="00E02A0C" w:rsidRPr="00E02A0C" w:rsidTr="004455A2">
        <w:trPr>
          <w:trHeight w:val="407"/>
        </w:trPr>
        <w:tc>
          <w:tcPr>
            <w:tcW w:w="15304" w:type="dxa"/>
            <w:gridSpan w:val="6"/>
            <w:vAlign w:val="center"/>
          </w:tcPr>
          <w:p w:rsidR="00E02A0C" w:rsidRPr="00E02A0C" w:rsidRDefault="00E02A0C" w:rsidP="004455A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455A2">
              <w:rPr>
                <w:rFonts w:ascii="Cambria" w:hAnsi="Cambria"/>
                <w:b/>
                <w:bCs/>
                <w:sz w:val="24"/>
                <w:szCs w:val="24"/>
              </w:rPr>
              <w:t>RENCANA PEMBELAJARAN SEMESTER</w:t>
            </w:r>
          </w:p>
        </w:tc>
      </w:tr>
      <w:tr w:rsidR="00E02A0C" w:rsidRPr="00E02A0C" w:rsidTr="004455A2">
        <w:trPr>
          <w:trHeight w:val="285"/>
        </w:trPr>
        <w:tc>
          <w:tcPr>
            <w:tcW w:w="1999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Mata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2560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Kode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Mata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Kulah</w:t>
            </w:r>
            <w:proofErr w:type="spellEnd"/>
          </w:p>
        </w:tc>
        <w:tc>
          <w:tcPr>
            <w:tcW w:w="1999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Rumpun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Mata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Kulah</w:t>
            </w:r>
            <w:proofErr w:type="spellEnd"/>
          </w:p>
        </w:tc>
        <w:tc>
          <w:tcPr>
            <w:tcW w:w="1999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Bobot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(SKS)</w:t>
            </w:r>
          </w:p>
        </w:tc>
        <w:tc>
          <w:tcPr>
            <w:tcW w:w="1999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Semester</w:t>
            </w:r>
          </w:p>
        </w:tc>
        <w:tc>
          <w:tcPr>
            <w:tcW w:w="4748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Tangga</w:t>
            </w:r>
            <w:r>
              <w:rPr>
                <w:rFonts w:ascii="Cambria" w:hAnsi="Cambria"/>
                <w:sz w:val="18"/>
                <w:szCs w:val="18"/>
              </w:rPr>
              <w:t>l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Peny</w:t>
            </w:r>
            <w:r>
              <w:rPr>
                <w:rFonts w:ascii="Cambria" w:hAnsi="Cambria"/>
                <w:sz w:val="18"/>
                <w:szCs w:val="18"/>
              </w:rPr>
              <w:t>u</w:t>
            </w:r>
            <w:r w:rsidRPr="004455A2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u</w:t>
            </w:r>
            <w:r w:rsidRPr="004455A2">
              <w:rPr>
                <w:rFonts w:ascii="Cambria" w:hAnsi="Cambria"/>
                <w:sz w:val="18"/>
                <w:szCs w:val="18"/>
              </w:rPr>
              <w:t>nan</w:t>
            </w:r>
            <w:proofErr w:type="spellEnd"/>
          </w:p>
        </w:tc>
      </w:tr>
      <w:tr w:rsidR="00E02A0C" w:rsidRPr="00E02A0C" w:rsidTr="004455A2">
        <w:tc>
          <w:tcPr>
            <w:tcW w:w="1999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Administrasi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Supervisi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60" w:type="dxa"/>
            <w:vAlign w:val="center"/>
          </w:tcPr>
          <w:p w:rsidR="00E02A0C" w:rsidRPr="004455A2" w:rsidRDefault="00E02A0C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E02A0C" w:rsidRPr="004455A2" w:rsidRDefault="00E02A0C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999" w:type="dxa"/>
            <w:vAlign w:val="center"/>
          </w:tcPr>
          <w:p w:rsidR="00E02A0C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Genap</w:t>
            </w:r>
            <w:proofErr w:type="spellEnd"/>
          </w:p>
        </w:tc>
        <w:tc>
          <w:tcPr>
            <w:tcW w:w="4748" w:type="dxa"/>
            <w:vAlign w:val="center"/>
          </w:tcPr>
          <w:p w:rsidR="00E02A0C" w:rsidRPr="004455A2" w:rsidRDefault="00E02A0C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455A2" w:rsidRPr="00E02A0C" w:rsidTr="004455A2">
        <w:trPr>
          <w:trHeight w:val="267"/>
        </w:trPr>
        <w:tc>
          <w:tcPr>
            <w:tcW w:w="1999" w:type="dxa"/>
            <w:vMerge w:val="restart"/>
            <w:vAlign w:val="center"/>
          </w:tcPr>
          <w:p w:rsidR="004455A2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Otoritas</w:t>
            </w:r>
            <w:proofErr w:type="spellEnd"/>
          </w:p>
        </w:tc>
        <w:tc>
          <w:tcPr>
            <w:tcW w:w="4559" w:type="dxa"/>
            <w:gridSpan w:val="2"/>
            <w:vAlign w:val="center"/>
          </w:tcPr>
          <w:p w:rsidR="004455A2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Dosen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3998" w:type="dxa"/>
            <w:gridSpan w:val="2"/>
            <w:vAlign w:val="center"/>
          </w:tcPr>
          <w:p w:rsidR="004455A2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Koordinator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Rumpun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MK</w:t>
            </w:r>
          </w:p>
        </w:tc>
        <w:tc>
          <w:tcPr>
            <w:tcW w:w="4748" w:type="dxa"/>
            <w:vAlign w:val="center"/>
          </w:tcPr>
          <w:p w:rsidR="004455A2" w:rsidRPr="004B759D" w:rsidRDefault="004455A2" w:rsidP="004455A2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Ketua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P</w:t>
            </w:r>
            <w:r w:rsidR="004B759D">
              <w:rPr>
                <w:rFonts w:ascii="Cambria" w:hAnsi="Cambria"/>
                <w:sz w:val="18"/>
                <w:szCs w:val="18"/>
              </w:rPr>
              <w:t xml:space="preserve">rodi </w:t>
            </w:r>
            <w:r w:rsidR="004B759D">
              <w:rPr>
                <w:rFonts w:ascii="Cambria" w:hAnsi="Cambria"/>
                <w:sz w:val="18"/>
                <w:szCs w:val="18"/>
                <w:lang w:val="id-ID"/>
              </w:rPr>
              <w:t>Manajemen Pendidikan Islam</w:t>
            </w:r>
          </w:p>
        </w:tc>
      </w:tr>
      <w:tr w:rsidR="004455A2" w:rsidRPr="00E02A0C" w:rsidTr="00ED3241">
        <w:trPr>
          <w:trHeight w:val="427"/>
        </w:trPr>
        <w:tc>
          <w:tcPr>
            <w:tcW w:w="1999" w:type="dxa"/>
            <w:vMerge/>
            <w:vAlign w:val="center"/>
          </w:tcPr>
          <w:p w:rsidR="004455A2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59" w:type="dxa"/>
            <w:gridSpan w:val="2"/>
            <w:vAlign w:val="center"/>
          </w:tcPr>
          <w:p w:rsidR="004455A2" w:rsidRPr="004B759D" w:rsidRDefault="004B759D" w:rsidP="00C1771A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  <w:r>
              <w:rPr>
                <w:rFonts w:ascii="Cambria" w:hAnsi="Cambria"/>
                <w:sz w:val="18"/>
                <w:szCs w:val="18"/>
                <w:lang w:val="id-ID"/>
              </w:rPr>
              <w:t>ERE MARDELLA ARBIANI, M.Pd.</w:t>
            </w:r>
          </w:p>
        </w:tc>
        <w:tc>
          <w:tcPr>
            <w:tcW w:w="3998" w:type="dxa"/>
            <w:gridSpan w:val="2"/>
            <w:vAlign w:val="center"/>
          </w:tcPr>
          <w:p w:rsidR="004455A2" w:rsidRPr="004455A2" w:rsidRDefault="004455A2" w:rsidP="004455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48" w:type="dxa"/>
            <w:vAlign w:val="center"/>
          </w:tcPr>
          <w:p w:rsidR="004455A2" w:rsidRPr="004B759D" w:rsidRDefault="004455A2" w:rsidP="004455A2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</w:tr>
      <w:tr w:rsidR="00E02A0C" w:rsidRPr="00E02A0C" w:rsidTr="004455A2">
        <w:tc>
          <w:tcPr>
            <w:tcW w:w="1999" w:type="dxa"/>
            <w:vMerge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Tim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Dosen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>: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02A0C" w:rsidRPr="004B759D" w:rsidRDefault="00E02A0C" w:rsidP="004B75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02A0C" w:rsidRPr="00E02A0C" w:rsidTr="004455A2">
        <w:tc>
          <w:tcPr>
            <w:tcW w:w="1999" w:type="dxa"/>
            <w:vMerge w:val="restart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Capaian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Prodi</w:t>
            </w:r>
          </w:p>
        </w:tc>
      </w:tr>
      <w:tr w:rsidR="00E02A0C" w:rsidRPr="00E02A0C" w:rsidTr="004455A2">
        <w:tc>
          <w:tcPr>
            <w:tcW w:w="1999" w:type="dxa"/>
            <w:vMerge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Pengetahuan</w:t>
            </w:r>
            <w:proofErr w:type="spellEnd"/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1"/>
              </w:numPr>
              <w:spacing w:after="0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Menguasai konsep-konsep dasar kebahasaan dan kesastraan, keterampilan berbahasa dan bersastra, pembelajaran bahasa dan sastra, penelitian bahasa dan sastra, serta penelitian pendidikan bahasa dan sastra;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1"/>
              </w:numPr>
              <w:spacing w:after="0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Menguasai prinsip-prinsip pedagogi dan psikologi pendidikan;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1"/>
              </w:numPr>
              <w:spacing w:after="0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Menguasai konsep teori pengembangan pembelajaran bahasa dan sastra; dan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1"/>
              </w:numPr>
              <w:spacing w:after="0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Menguasai prinsip dan manajemen kewirausahaan bidang bahasa dan sastra Indonesia, serta pembelajarannya.</w:t>
            </w:r>
          </w:p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Sikap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Tata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Nilai</w:t>
            </w:r>
            <w:proofErr w:type="spellEnd"/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Bertakwa kepada Tuhan yang Maha Esa dan menunjukkan sikap religius;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Menjunjung tinggi nilai kemanusiaan dalam menjalankan tugas berdasarkan agama, moral, dan etika;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Berkontribusi dalam peningkatan mutu kehidupan bermasyarakat, berbangsa, bernegara, dan kemajuan perubahan berdasarkan Pancasila;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Berperan sebagai warga negara yang bangga dan cinta tanah air, memiliki nasionalisme serta rasa tanggung jawab pada negara dan bangsa;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Menghargai keanekaragaman budaya, pandangan, agama dan kepercayaan, serta pendapat, atau temuan orisinal orang lain;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Kerja sama dan memiliki kepekaan sosial serta kepedulian terhadap masyarakat dan lingkungan;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Taat hukum dan disiplin dalam kehidupan bermasyarakat dan bernegara;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Menginternalisasi nilai, norma, dan etika akademik; </w:t>
            </w:r>
          </w:p>
          <w:p w:rsidR="00E02A0C" w:rsidRPr="004455A2" w:rsidRDefault="00E02A0C" w:rsidP="00E02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Memiliki kepedulian dalam menjaga dan merawat kesehatan diri dan lingkungan; </w:t>
            </w:r>
          </w:p>
          <w:p w:rsidR="004455A2" w:rsidRDefault="00E02A0C" w:rsidP="004455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Menunjukkan sikap bertanggung jawab atas pekerjaan di bidang pendidikan bahasa dan sastra Indonesia secara mandiri; dan</w:t>
            </w:r>
          </w:p>
          <w:p w:rsidR="00E02A0C" w:rsidRPr="004455A2" w:rsidRDefault="00E02A0C" w:rsidP="004455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283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Menginternalisasi semangat kemandirian, kejuangan dan kewirausahaan</w:t>
            </w:r>
          </w:p>
        </w:tc>
      </w:tr>
      <w:tr w:rsidR="00E02A0C" w:rsidRPr="00E02A0C" w:rsidTr="004455A2">
        <w:tc>
          <w:tcPr>
            <w:tcW w:w="1999" w:type="dxa"/>
            <w:vMerge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Mk</w:t>
            </w:r>
          </w:p>
        </w:tc>
      </w:tr>
      <w:tr w:rsidR="00E02A0C" w:rsidRPr="00E02A0C" w:rsidTr="004455A2">
        <w:tc>
          <w:tcPr>
            <w:tcW w:w="1999" w:type="dxa"/>
            <w:vMerge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Mahasiswa mampu menganalis konsep dasar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supervvisi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Default="00E02A0C" w:rsidP="004455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 xml:space="preserve">Mahasiswa mampu mengaitkan konsep dasar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4455A2">
              <w:rPr>
                <w:rFonts w:ascii="Cambria" w:hAnsi="Cambria"/>
                <w:sz w:val="18"/>
                <w:szCs w:val="18"/>
              </w:rPr>
              <w:t xml:space="preserve"> dengan konsep Islam </w:t>
            </w:r>
          </w:p>
          <w:p w:rsidR="00E02A0C" w:rsidRPr="004455A2" w:rsidRDefault="00E02A0C" w:rsidP="004455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rPr>
                <w:rFonts w:ascii="Cambria" w:hAnsi="Cambria"/>
                <w:sz w:val="18"/>
                <w:szCs w:val="18"/>
              </w:rPr>
            </w:pPr>
            <w:r w:rsidRPr="004455A2">
              <w:rPr>
                <w:rFonts w:ascii="Cambria" w:hAnsi="Cambria"/>
                <w:sz w:val="18"/>
                <w:szCs w:val="18"/>
              </w:rPr>
              <w:t>Mahasiswa mampu menerapkan nilai-nilai kei</w:t>
            </w:r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s</w:t>
            </w:r>
            <w:r w:rsidRPr="004455A2">
              <w:rPr>
                <w:rFonts w:ascii="Cambria" w:hAnsi="Cambria"/>
                <w:sz w:val="18"/>
                <w:szCs w:val="18"/>
              </w:rPr>
              <w:t xml:space="preserve">laman dalam kehidupan setelah mempelajari konsep dasar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</w:p>
        </w:tc>
      </w:tr>
      <w:tr w:rsidR="00E02A0C" w:rsidRPr="00E02A0C" w:rsidTr="004455A2">
        <w:tc>
          <w:tcPr>
            <w:tcW w:w="1999" w:type="dxa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Deskripsi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Mta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3305" w:type="dxa"/>
            <w:gridSpan w:val="5"/>
          </w:tcPr>
          <w:p w:rsidR="00E02A0C" w:rsidRPr="004455A2" w:rsidRDefault="00E02A0C" w:rsidP="004455A2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 xml:space="preserve">Mata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kuliah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ini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mengkaji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konsep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dasar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4455A2">
              <w:rPr>
                <w:rFonts w:ascii="Cambria" w:hAnsi="Cambria" w:cs="Arial"/>
                <w:sz w:val="18"/>
                <w:szCs w:val="18"/>
                <w:lang w:val="id-ID"/>
              </w:rPr>
              <w:t>administrasi dan supervisi</w:t>
            </w:r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di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sekolah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madrasah. Mata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kuliah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didesain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dengan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mempertimbangkan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perkembangan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dunia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administrasi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455A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supervise</w:t>
            </w:r>
            <w:proofErr w:type="gram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terutama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berkaitan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dengan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penggunaan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ICT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proses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 w:cs="Arial"/>
                <w:sz w:val="18"/>
                <w:szCs w:val="18"/>
              </w:rPr>
              <w:t>kegiatannya</w:t>
            </w:r>
            <w:proofErr w:type="spellEnd"/>
            <w:r w:rsidRPr="004455A2">
              <w:rPr>
                <w:rFonts w:ascii="Cambria" w:hAnsi="Cambria" w:cs="Arial"/>
                <w:sz w:val="18"/>
                <w:szCs w:val="18"/>
              </w:rPr>
              <w:t xml:space="preserve">. </w:t>
            </w:r>
          </w:p>
        </w:tc>
      </w:tr>
      <w:tr w:rsidR="00E02A0C" w:rsidRPr="00E02A0C" w:rsidTr="004455A2">
        <w:tc>
          <w:tcPr>
            <w:tcW w:w="1999" w:type="dxa"/>
            <w:vMerge w:val="restart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Bahan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Kajian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Pokok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Bahan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Kajian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2A0C" w:rsidRPr="00E02A0C" w:rsidTr="004455A2">
        <w:tc>
          <w:tcPr>
            <w:tcW w:w="1999" w:type="dxa"/>
            <w:vMerge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Konsep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dasar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</w:p>
        </w:tc>
      </w:tr>
      <w:tr w:rsidR="00E02A0C" w:rsidRPr="00E02A0C" w:rsidTr="004455A2">
        <w:tc>
          <w:tcPr>
            <w:tcW w:w="1999" w:type="dxa"/>
            <w:vMerge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Pokok</w:t>
            </w:r>
            <w:proofErr w:type="spellEnd"/>
            <w:r w:rsidRPr="004455A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4455A2">
              <w:rPr>
                <w:rFonts w:ascii="Cambria" w:hAnsi="Cambria"/>
                <w:sz w:val="18"/>
                <w:szCs w:val="18"/>
              </w:rPr>
              <w:t>Bahasan</w:t>
            </w:r>
            <w:proofErr w:type="spellEnd"/>
          </w:p>
        </w:tc>
      </w:tr>
      <w:tr w:rsidR="00E02A0C" w:rsidRPr="00E02A0C" w:rsidTr="004455A2">
        <w:tc>
          <w:tcPr>
            <w:tcW w:w="1999" w:type="dxa"/>
            <w:vMerge/>
          </w:tcPr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05" w:type="dxa"/>
            <w:gridSpan w:val="5"/>
          </w:tcPr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Hakikat Administrasi Pendidikan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Administrasi Tata Laksana Berbasis ICT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Administrasi Kesiswaan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lastRenderedPageBreak/>
              <w:t>Administrasi Kurikulum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Administrasi Personalia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Administrasi Sarana dan Prasarana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  <w:lang w:val="sv-SE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Administrasi Humas (Hubungan Masyarakat dengan Sekolah)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Administrasi Keuangan Sekolah</w:t>
            </w:r>
          </w:p>
          <w:p w:rsidR="00E02A0C" w:rsidRPr="004455A2" w:rsidRDefault="00E02A0C" w:rsidP="00E02A0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35" w:hanging="335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Supervisi Pendidikan</w:t>
            </w:r>
          </w:p>
          <w:p w:rsidR="00E02A0C" w:rsidRPr="004455A2" w:rsidRDefault="00E02A0C" w:rsidP="00E02A0C">
            <w:pPr>
              <w:pStyle w:val="BodyTextIndent2"/>
              <w:numPr>
                <w:ilvl w:val="3"/>
                <w:numId w:val="4"/>
              </w:numPr>
              <w:ind w:left="335" w:hanging="335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 Narrow"/>
                <w:sz w:val="18"/>
                <w:szCs w:val="18"/>
                <w:lang w:val="nl-NL"/>
              </w:rPr>
              <w:t>Jenis, Teknik dan Strategi Supervisi Pendidikan</w:t>
            </w:r>
          </w:p>
          <w:p w:rsidR="00E02A0C" w:rsidRPr="004455A2" w:rsidRDefault="00E02A0C" w:rsidP="00E02A0C">
            <w:pPr>
              <w:pStyle w:val="BodyTextIndent2"/>
              <w:numPr>
                <w:ilvl w:val="3"/>
                <w:numId w:val="4"/>
              </w:numPr>
              <w:ind w:left="335" w:hanging="335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 Narrow"/>
                <w:sz w:val="18"/>
                <w:szCs w:val="18"/>
                <w:lang w:val="nl-NL"/>
              </w:rPr>
              <w:t>Instrumen Supervisi Pendidikan (peraturan, formulir, dan sebagainya)</w:t>
            </w:r>
          </w:p>
          <w:p w:rsidR="00E02A0C" w:rsidRPr="004455A2" w:rsidRDefault="00E02A0C" w:rsidP="00E02A0C">
            <w:pPr>
              <w:pStyle w:val="BodyTextIndent2"/>
              <w:numPr>
                <w:ilvl w:val="3"/>
                <w:numId w:val="4"/>
              </w:numPr>
              <w:ind w:left="335" w:hanging="335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 Narrow"/>
                <w:sz w:val="18"/>
                <w:szCs w:val="18"/>
                <w:lang w:val="nl-NL"/>
              </w:rPr>
              <w:t>Kriteria dan Kualifikasi Supervisor Pendidikan</w:t>
            </w:r>
          </w:p>
          <w:p w:rsidR="00E02A0C" w:rsidRPr="004455A2" w:rsidRDefault="00E02A0C" w:rsidP="00E02A0C">
            <w:pPr>
              <w:pStyle w:val="BodyTextIndent2"/>
              <w:numPr>
                <w:ilvl w:val="3"/>
                <w:numId w:val="4"/>
              </w:numPr>
              <w:ind w:left="335" w:hanging="335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 Narrow"/>
                <w:sz w:val="18"/>
                <w:szCs w:val="18"/>
                <w:lang w:val="nl-NL"/>
              </w:rPr>
              <w:t>Supervisi dan Proses Penjaminan Mutu Pendidikan</w:t>
            </w:r>
          </w:p>
          <w:p w:rsidR="00E02A0C" w:rsidRPr="004455A2" w:rsidRDefault="00E02A0C" w:rsidP="00E02A0C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455A2" w:rsidRPr="00721F60" w:rsidRDefault="004455A2" w:rsidP="004455A2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559"/>
        <w:gridCol w:w="1418"/>
        <w:gridCol w:w="2268"/>
        <w:gridCol w:w="1842"/>
        <w:gridCol w:w="1418"/>
        <w:gridCol w:w="1134"/>
        <w:gridCol w:w="850"/>
      </w:tblGrid>
      <w:tr w:rsidR="004455A2" w:rsidRPr="00721F60" w:rsidTr="001C4F94">
        <w:tc>
          <w:tcPr>
            <w:tcW w:w="846" w:type="dxa"/>
            <w:vMerge w:val="restart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Minggu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Ke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1F60">
              <w:rPr>
                <w:rFonts w:ascii="Cambria" w:hAnsi="Cambria"/>
                <w:b/>
                <w:sz w:val="18"/>
                <w:szCs w:val="18"/>
              </w:rPr>
              <w:t>Sub-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Capaian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4678" w:type="dxa"/>
            <w:gridSpan w:val="3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Integrasi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Sains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– Islam</w:t>
            </w:r>
          </w:p>
        </w:tc>
        <w:tc>
          <w:tcPr>
            <w:tcW w:w="2268" w:type="dxa"/>
            <w:vMerge w:val="restart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Materi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842" w:type="dxa"/>
            <w:vMerge w:val="restart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Metode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>/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Strategi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402" w:type="dxa"/>
            <w:gridSpan w:val="3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Penilaian</w:t>
            </w:r>
            <w:proofErr w:type="spellEnd"/>
          </w:p>
        </w:tc>
      </w:tr>
      <w:tr w:rsidR="004455A2" w:rsidRPr="00721F60" w:rsidTr="001C4F94">
        <w:tc>
          <w:tcPr>
            <w:tcW w:w="846" w:type="dxa"/>
            <w:vMerge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1F60">
              <w:rPr>
                <w:rFonts w:ascii="Cambria" w:hAnsi="Cambria"/>
                <w:b/>
                <w:sz w:val="18"/>
                <w:szCs w:val="18"/>
              </w:rPr>
              <w:t>Al-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Nushush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al-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Syar’iyah</w:t>
            </w:r>
            <w:proofErr w:type="spellEnd"/>
          </w:p>
        </w:tc>
        <w:tc>
          <w:tcPr>
            <w:tcW w:w="1559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1F60">
              <w:rPr>
                <w:rFonts w:ascii="Cambria" w:hAnsi="Cambria"/>
                <w:b/>
                <w:sz w:val="18"/>
                <w:szCs w:val="18"/>
              </w:rPr>
              <w:t>Al-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Tahlil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al-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Imani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1F60">
              <w:rPr>
                <w:rFonts w:ascii="Cambria" w:hAnsi="Cambria"/>
                <w:b/>
                <w:sz w:val="18"/>
                <w:szCs w:val="18"/>
              </w:rPr>
              <w:t>Al-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Naqd</w:t>
            </w:r>
            <w:proofErr w:type="spellEnd"/>
            <w:r w:rsidRPr="00721F60">
              <w:rPr>
                <w:rFonts w:ascii="Cambria" w:hAnsi="Cambria"/>
                <w:b/>
                <w:sz w:val="18"/>
                <w:szCs w:val="18"/>
              </w:rPr>
              <w:t xml:space="preserve"> al-</w:t>
            </w: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Islami</w:t>
            </w:r>
            <w:proofErr w:type="spellEnd"/>
          </w:p>
        </w:tc>
        <w:tc>
          <w:tcPr>
            <w:tcW w:w="2268" w:type="dxa"/>
            <w:vMerge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134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Bentuk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b/>
                <w:sz w:val="18"/>
                <w:szCs w:val="18"/>
              </w:rPr>
              <w:t>Bobot</w:t>
            </w:r>
            <w:proofErr w:type="spellEnd"/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color w:val="FF0000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/>
                <w:color w:val="000000" w:themeColor="text1"/>
                <w:sz w:val="18"/>
                <w:szCs w:val="18"/>
                <w:lang w:val="en-US"/>
              </w:rPr>
              <w:t>Mahasiswa</w:t>
            </w:r>
            <w:proofErr w:type="spellEnd"/>
            <w:r w:rsidRPr="00721F60">
              <w:rPr>
                <w:rFonts w:ascii="Cambria" w:hAnsi="Cambr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color w:val="000000" w:themeColor="text1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gambaran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umum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mata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kulliah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1C4F94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5A2" w:rsidRPr="00721F60" w:rsidRDefault="004455A2" w:rsidP="001C4F94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 w:left="263" w:hanging="283"/>
              <w:jc w:val="both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</w:rPr>
              <w:t>Perkenalan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 w:left="263" w:hanging="283"/>
              <w:jc w:val="both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</w:rPr>
              <w:t>Ruang lingkup dan tata tertib perkuliahan</w:t>
            </w:r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kontrak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kuliah</w:t>
            </w:r>
            <w:proofErr w:type="spellEnd"/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 w:left="263" w:hanging="283"/>
              <w:jc w:val="both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721F60">
              <w:rPr>
                <w:rFonts w:ascii="Cambria" w:hAnsi="Cambria" w:cs="Arial"/>
                <w:color w:val="000000" w:themeColor="text1"/>
                <w:sz w:val="18"/>
                <w:szCs w:val="18"/>
              </w:rPr>
              <w:t>Silabus dan sistem penilaian</w:t>
            </w:r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Ceramah,diskusi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resume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5%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hakikat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pendidikanberdasarkan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Hadist</w:t>
            </w:r>
            <w:proofErr w:type="spellEnd"/>
          </w:p>
        </w:tc>
        <w:tc>
          <w:tcPr>
            <w:tcW w:w="1701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 w:cs="Book Antiqu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Q.S.  As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Sajadah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: 5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tentang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Manajemen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 w:cs="Book Antiqu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Anfal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: 27 (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Prinsip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menjalankan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amanah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 w:cs="Book Antiqu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Insyiroh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: 7 (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Prinsip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inovatif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 w:cs="Book Antiqu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A’rof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: 31 (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Prinsip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efisien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</w:t>
            </w:r>
            <w:r w:rsidRPr="00721F60">
              <w:rPr>
                <w:rFonts w:ascii="Cambria" w:hAnsi="Cambria"/>
                <w:sz w:val="18"/>
                <w:szCs w:val="18"/>
              </w:rPr>
              <w:t xml:space="preserve">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Baqarah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>: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282</w:t>
            </w:r>
            <w:r w:rsidRPr="00721F60">
              <w:rPr>
                <w:rFonts w:ascii="Cambria" w:hAnsi="Cambria"/>
                <w:sz w:val="18"/>
                <w:szCs w:val="18"/>
              </w:rPr>
              <w:t xml:space="preserve"> tentang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pencatatan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Hasyr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18, 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Qoshosh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77 (</w:t>
            </w:r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Planning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Ash-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Shoff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4 (</w:t>
            </w:r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Organizing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Ash-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Shoff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3 (</w:t>
            </w:r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Actuating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Q.S. An-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Naml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27, 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Infithor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10-13 (</w:t>
            </w:r>
            <w:proofErr w:type="spellStart"/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Controling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) 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Cambria" w:hAnsi="Cambria" w:cs="Book Antiqua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dalam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perspektif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Islam 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Cambria" w:hAnsi="Cambria" w:cs="Book Antiqua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3" w:hanging="26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Tujuan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3" w:hanging="263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Prinsip-prinsip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andministrasi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tatalaksana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berbasis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ICTberdasarkan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Hadist</w:t>
            </w:r>
            <w:proofErr w:type="spellEnd"/>
          </w:p>
        </w:tc>
        <w:tc>
          <w:tcPr>
            <w:tcW w:w="1701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</w:t>
            </w:r>
            <w:r w:rsidRPr="00721F60">
              <w:rPr>
                <w:rFonts w:ascii="Cambria" w:hAnsi="Cambria"/>
                <w:sz w:val="18"/>
                <w:szCs w:val="18"/>
              </w:rPr>
              <w:t xml:space="preserve">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Baqarah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>: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282(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pencatatan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dokumen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tatalaksana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Fungsi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Tujuan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tatalaksana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Kegiatan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tatalaksana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tatalaksana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berbasis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ICT (</w:t>
            </w:r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 xml:space="preserve">Information, </w:t>
            </w:r>
            <w:proofErr w:type="spellStart"/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Comunication</w:t>
            </w:r>
            <w:proofErr w:type="spellEnd"/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 xml:space="preserve"> and Technology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kesiswaan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berdasarkan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Hadist</w:t>
            </w:r>
            <w:proofErr w:type="spellEnd"/>
          </w:p>
        </w:tc>
        <w:tc>
          <w:tcPr>
            <w:tcW w:w="1701" w:type="dxa"/>
          </w:tcPr>
          <w:p w:rsidR="004455A2" w:rsidRPr="00492287" w:rsidRDefault="004455A2" w:rsidP="00492287">
            <w:pPr>
              <w:pStyle w:val="ListParagraph"/>
              <w:numPr>
                <w:ilvl w:val="0"/>
                <w:numId w:val="12"/>
              </w:numPr>
              <w:spacing w:after="0"/>
              <w:ind w:left="95" w:hanging="142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Q.S.Luqman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12-14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Pembinaan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pengembangan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kesiswaan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Tujuan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Kesiswaan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Kegiatan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Kesiswaan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492287" w:rsidRDefault="004455A2" w:rsidP="004922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kurikulum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berdasarkan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Hadist</w:t>
            </w:r>
            <w:proofErr w:type="spellEnd"/>
          </w:p>
        </w:tc>
        <w:tc>
          <w:tcPr>
            <w:tcW w:w="1701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Kurikulum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Komponen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kurikulum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Kegiatan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Kurikulum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personalia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berdasarkan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Hadist</w:t>
            </w:r>
            <w:proofErr w:type="spellEnd"/>
          </w:p>
        </w:tc>
        <w:tc>
          <w:tcPr>
            <w:tcW w:w="1701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</w:t>
            </w:r>
            <w:r w:rsidRPr="00721F60">
              <w:rPr>
                <w:rFonts w:ascii="Cambria" w:hAnsi="Cambria"/>
                <w:sz w:val="18"/>
                <w:szCs w:val="18"/>
              </w:rPr>
              <w:t xml:space="preserve">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Ahqaf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19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pemberian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upah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gaji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492287" w:rsidRDefault="004455A2" w:rsidP="00492287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Yusuf: 55, 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Baqarah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267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rekrutmen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pegawai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berkualitas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amanah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sesuai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bidang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dibutuhkan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63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Personalia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1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1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Tenaga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1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Kegiatan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Personalia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sarana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prasarana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berdasarkan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Hadist</w:t>
            </w:r>
            <w:proofErr w:type="spellEnd"/>
          </w:p>
        </w:tc>
        <w:tc>
          <w:tcPr>
            <w:tcW w:w="1701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21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H.R. Muslim No. 272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teliti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dalam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pengadaan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barang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21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Baqarah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282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pentingnya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dokumen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pencatatan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492287" w:rsidRDefault="004455A2" w:rsidP="00492287">
            <w:pPr>
              <w:pStyle w:val="ListParagraph"/>
              <w:numPr>
                <w:ilvl w:val="0"/>
                <w:numId w:val="21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Isra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’: 27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tidak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berlebih-lebihan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3" w:hanging="283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Sarana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Prasarana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3" w:hanging="283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Sarana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Prasarana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3" w:hanging="283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lastRenderedPageBreak/>
              <w:t>Tujuan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Sarana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Prasarana</w:t>
            </w:r>
            <w:proofErr w:type="spellEnd"/>
          </w:p>
          <w:p w:rsidR="004455A2" w:rsidRPr="004455A2" w:rsidRDefault="004455A2" w:rsidP="004455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3" w:hanging="283"/>
              <w:rPr>
                <w:rFonts w:ascii="Cambria" w:hAnsi="Cambria" w:cs="Book Antiqua,Bold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Kegiatan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Sarana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Prasarana</w:t>
            </w:r>
            <w:r w:rsidRPr="004455A2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4458" w:type="dxa"/>
            <w:gridSpan w:val="9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UJIAN TENGAH SEMESTER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hubungan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masyarakat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berdsarkan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</w:t>
            </w:r>
          </w:p>
        </w:tc>
        <w:tc>
          <w:tcPr>
            <w:tcW w:w="1701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7" w:hanging="237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An-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Nahl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125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komunakitf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  <w:r w:rsidRPr="00721F60">
              <w:rPr>
                <w:rFonts w:ascii="Cambria" w:hAnsi="Cambria"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Hubungan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masyarakat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Tujuan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Fungsi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Hubungan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Masyarakat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Kegiatan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hubungan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masyarakat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492287" w:rsidRDefault="004455A2" w:rsidP="004922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keungan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berdasarkan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Al-Qur’an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Hadist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Furqan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67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Prinsip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pengelolaan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keungan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sekolah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Hasyr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18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perencanaan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anggaran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sekolah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As-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Shaff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4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pelaksanaan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ABS)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Baqarah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Pembukuan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/>
              <w:ind w:left="237" w:hanging="237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Infithar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10-12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Pengawasan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Keuangan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Prinsip-prinsip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pengelolaan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keuangan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sekolah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Sumber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Hukum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Pendanaan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Kegiatan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Administrasi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Keungan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konsep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dasar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dalam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perspektif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Islam</w:t>
            </w:r>
          </w:p>
        </w:tc>
        <w:tc>
          <w:tcPr>
            <w:tcW w:w="1701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Ahzab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52, Q.S. Ali  Imran: 29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Arial"/>
                <w:sz w:val="18"/>
                <w:szCs w:val="18"/>
                <w:lang w:val="en-US"/>
              </w:rPr>
              <w:t>Pengertian</w:t>
            </w:r>
            <w:proofErr w:type="spellEnd"/>
            <w:r w:rsidRPr="00721F6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721F60">
              <w:rPr>
                <w:rFonts w:ascii="Cambria" w:hAnsi="Cambria" w:cs="Arial"/>
                <w:sz w:val="18"/>
                <w:szCs w:val="18"/>
              </w:rPr>
              <w:t>Supervisi Pendidikan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Tujuan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Sasaran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Fungsi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1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Prinsip-prinsip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 w:cs="Book Antiqua,Bold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jenis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Teknik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strategi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1701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Kahfi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2, Q.S.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Azzariyat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55, </w:t>
            </w:r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 xml:space="preserve">Q.S. 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As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Sajadah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24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pedoman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atau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Teknik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Jenis-jenis supervisi pendidikan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lastRenderedPageBreak/>
              <w:t>Teknik supervisi pendidikan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Strategi Supervisi Pendidikan</w:t>
            </w:r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Ketepatan menjelaska</w:t>
            </w:r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 xml:space="preserve">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492287" w:rsidRDefault="004455A2" w:rsidP="004922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lastRenderedPageBreak/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langkah-langkah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penyusunan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bentuk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instrument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</w:p>
        </w:tc>
        <w:tc>
          <w:tcPr>
            <w:tcW w:w="1701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Pengertian instrumen supervisi pendidikan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Langkah-langkah penyusunan instrumen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Format instrumen supervisi pendidikan (peraturan, formulir, dan sebagainya)</w:t>
            </w:r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492287">
            <w:pPr>
              <w:pStyle w:val="ListParagraph"/>
              <w:spacing w:after="0" w:line="240" w:lineRule="auto"/>
              <w:ind w:left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14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supervisor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kriteria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serta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kualifikasi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supervisor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Pendidikan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dalam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perspektif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Islam</w:t>
            </w:r>
          </w:p>
        </w:tc>
        <w:tc>
          <w:tcPr>
            <w:tcW w:w="1701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An-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Nisa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58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amanah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An-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Nahl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90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Adil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Supervisor pendidikan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Kriteria dan kualifikasi supervisor pendidikan</w:t>
            </w:r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492287" w:rsidRDefault="004455A2" w:rsidP="0049228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15</w:t>
            </w:r>
          </w:p>
        </w:tc>
        <w:tc>
          <w:tcPr>
            <w:tcW w:w="226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Mahasiswa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memahami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mampu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menjelaskan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supervisi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kaitannya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dengan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penjaminan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mutu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dalam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perspektif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Islam </w:t>
            </w:r>
          </w:p>
        </w:tc>
        <w:tc>
          <w:tcPr>
            <w:tcW w:w="1701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Q.S.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Ar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Ra’d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11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kemampuan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untuk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berubah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arah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baik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) 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Q.S. Al-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Mulk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3-4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prinsip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21F6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Zero defect</w:t>
            </w: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Q.S.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Asy-Syu’ara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: 181-183 (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kepuasan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pelanggan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Pengertian penjaminan mutu pendidikan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Proses Penjaminan Mutu Pendidikan</w:t>
            </w: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3" w:hanging="283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 w:cs="Arial Narrow"/>
                <w:sz w:val="18"/>
                <w:szCs w:val="18"/>
                <w:lang w:val="nl-NL"/>
              </w:rPr>
              <w:t>Hubungan supervisi dengan penjaminan mutu pendidikan</w:t>
            </w:r>
          </w:p>
        </w:tc>
        <w:tc>
          <w:tcPr>
            <w:tcW w:w="1842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Pembelajaran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langsung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ceramah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tanya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jawab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 xml:space="preserve">Ketepatan menjelaskan secara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lisan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dan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tulisan</w:t>
            </w:r>
            <w:proofErr w:type="spellEnd"/>
          </w:p>
          <w:p w:rsidR="004455A2" w:rsidRPr="00721F60" w:rsidRDefault="004455A2" w:rsidP="001C4F94">
            <w:pPr>
              <w:pStyle w:val="ListParagraph"/>
              <w:spacing w:after="0"/>
              <w:ind w:left="268"/>
              <w:rPr>
                <w:rFonts w:ascii="Cambria" w:hAnsi="Cambria"/>
                <w:sz w:val="18"/>
                <w:szCs w:val="18"/>
              </w:rPr>
            </w:pPr>
          </w:p>
          <w:p w:rsidR="004455A2" w:rsidRPr="00721F60" w:rsidRDefault="004455A2" w:rsidP="004455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5A2" w:rsidRPr="00721F60" w:rsidRDefault="004455A2" w:rsidP="001C4F9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Nontes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</w:rPr>
              <w:t>Membuat</w:t>
            </w:r>
            <w:proofErr w:type="spellEnd"/>
            <w:r w:rsidRPr="00721F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21F60">
              <w:rPr>
                <w:rFonts w:ascii="Cambria" w:hAnsi="Cambria"/>
                <w:sz w:val="18"/>
                <w:szCs w:val="18"/>
                <w:lang w:val="en-US"/>
              </w:rPr>
              <w:t>Makalah</w:t>
            </w:r>
            <w:proofErr w:type="spellEnd"/>
          </w:p>
        </w:tc>
        <w:tc>
          <w:tcPr>
            <w:tcW w:w="850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10%</w:t>
            </w:r>
          </w:p>
        </w:tc>
      </w:tr>
      <w:tr w:rsidR="004455A2" w:rsidRPr="00721F60" w:rsidTr="001C4F94">
        <w:tc>
          <w:tcPr>
            <w:tcW w:w="846" w:type="dxa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1F60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4458" w:type="dxa"/>
            <w:gridSpan w:val="9"/>
          </w:tcPr>
          <w:p w:rsidR="004455A2" w:rsidRPr="00721F60" w:rsidRDefault="004455A2" w:rsidP="001C4F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1F60">
              <w:rPr>
                <w:rFonts w:ascii="Cambria" w:hAnsi="Cambria"/>
                <w:b/>
                <w:sz w:val="18"/>
                <w:szCs w:val="18"/>
              </w:rPr>
              <w:t>UJIAN AKHIR SEMESTER</w:t>
            </w:r>
          </w:p>
        </w:tc>
      </w:tr>
      <w:tr w:rsidR="004455A2" w:rsidRPr="00721F60" w:rsidTr="00363851">
        <w:tc>
          <w:tcPr>
            <w:tcW w:w="15304" w:type="dxa"/>
            <w:gridSpan w:val="10"/>
          </w:tcPr>
          <w:p w:rsidR="004455A2" w:rsidRPr="00F03860" w:rsidRDefault="004455A2" w:rsidP="004455A2">
            <w:pPr>
              <w:rPr>
                <w:rFonts w:ascii="Cambria" w:hAnsi="Cambria" w:cs="Arial"/>
                <w:b/>
                <w:bCs/>
              </w:rPr>
            </w:pPr>
            <w:proofErr w:type="spellStart"/>
            <w:r w:rsidRPr="00F03860">
              <w:rPr>
                <w:rFonts w:ascii="Cambria" w:hAnsi="Cambria" w:cs="Arial"/>
                <w:b/>
                <w:bCs/>
              </w:rPr>
              <w:t>Referensi</w:t>
            </w:r>
            <w:proofErr w:type="spellEnd"/>
          </w:p>
          <w:p w:rsidR="004A67C3" w:rsidRDefault="004A67C3" w:rsidP="004455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Drs. H. Aguslani Mushlih, M.Ag. &amp; Dr. H. Rudi Ahmad Suryadi, S.Pd.I., M.Ag. SUPERVISI PENDIDIKAN: Teori dan Praktik, Bandung: ROSDA, 2018</w:t>
            </w:r>
          </w:p>
          <w:p w:rsidR="004455A2" w:rsidRPr="004455A2" w:rsidRDefault="004455A2" w:rsidP="004455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>Prof Engkoswara, &amp;Aan Komariah, Administrasi Pendidikan, Alfabeta, 2011.</w:t>
            </w:r>
          </w:p>
          <w:p w:rsidR="004455A2" w:rsidRPr="004455A2" w:rsidRDefault="004455A2" w:rsidP="004455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 xml:space="preserve">Dr. H. Sufyarma M, M,Pd, </w:t>
            </w:r>
            <w:r w:rsidRPr="004455A2">
              <w:rPr>
                <w:rFonts w:ascii="Cambria" w:hAnsi="Cambria" w:cs="Arial"/>
                <w:i/>
                <w:sz w:val="18"/>
                <w:szCs w:val="18"/>
              </w:rPr>
              <w:t>Kapita Selekta Manajemen Pendidikan</w:t>
            </w:r>
            <w:r w:rsidRPr="004455A2">
              <w:rPr>
                <w:rFonts w:ascii="Cambria" w:hAnsi="Cambria" w:cs="Arial"/>
                <w:sz w:val="18"/>
                <w:szCs w:val="18"/>
              </w:rPr>
              <w:t>, Cet. 2, Bandung: ALFABETA, 2004</w:t>
            </w:r>
          </w:p>
          <w:p w:rsidR="004455A2" w:rsidRPr="004455A2" w:rsidRDefault="004455A2" w:rsidP="004455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 xml:space="preserve">Dr. H. Syaiful Sagala, M.Pd, </w:t>
            </w:r>
            <w:r w:rsidRPr="004455A2">
              <w:rPr>
                <w:rFonts w:ascii="Cambria" w:hAnsi="Cambria" w:cs="Arial"/>
                <w:i/>
                <w:sz w:val="18"/>
                <w:szCs w:val="18"/>
              </w:rPr>
              <w:t>Administrasi Pendidikan Kontemporer</w:t>
            </w:r>
            <w:r w:rsidRPr="004455A2">
              <w:rPr>
                <w:rFonts w:ascii="Cambria" w:hAnsi="Cambria" w:cs="Arial"/>
                <w:sz w:val="18"/>
                <w:szCs w:val="18"/>
              </w:rPr>
              <w:t>, Bandung: ALFABETA, 2008</w:t>
            </w:r>
          </w:p>
          <w:p w:rsidR="004455A2" w:rsidRPr="004455A2" w:rsidRDefault="004455A2" w:rsidP="004455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 xml:space="preserve">Dr. Nanang Fattah, </w:t>
            </w:r>
            <w:r w:rsidRPr="004455A2">
              <w:rPr>
                <w:rFonts w:ascii="Cambria" w:hAnsi="Cambria" w:cs="Arial"/>
                <w:i/>
                <w:sz w:val="18"/>
                <w:szCs w:val="18"/>
              </w:rPr>
              <w:t>Landasan Manajemen Pendidikan</w:t>
            </w:r>
            <w:r w:rsidRPr="004455A2">
              <w:rPr>
                <w:rFonts w:ascii="Cambria" w:hAnsi="Cambria" w:cs="Arial"/>
                <w:sz w:val="18"/>
                <w:szCs w:val="18"/>
              </w:rPr>
              <w:t>, Cet 8, Bandung: PT Remaja Rosdakarya, 2006</w:t>
            </w:r>
          </w:p>
          <w:p w:rsidR="004455A2" w:rsidRPr="004455A2" w:rsidRDefault="004455A2" w:rsidP="004455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 xml:space="preserve">Dr. T. Hani Handoko, M.B.A., </w:t>
            </w:r>
            <w:r w:rsidRPr="004455A2">
              <w:rPr>
                <w:rFonts w:ascii="Cambria" w:hAnsi="Cambria" w:cs="Arial"/>
                <w:i/>
                <w:sz w:val="18"/>
                <w:szCs w:val="18"/>
              </w:rPr>
              <w:t>Manajemen (Edisi 2),</w:t>
            </w:r>
            <w:r w:rsidRPr="004455A2">
              <w:rPr>
                <w:rFonts w:ascii="Cambria" w:hAnsi="Cambria" w:cs="Arial"/>
                <w:sz w:val="18"/>
                <w:szCs w:val="18"/>
              </w:rPr>
              <w:t xml:space="preserve">  Yogyakarta: BPFE Yogyakarta, 1995</w:t>
            </w:r>
          </w:p>
          <w:p w:rsidR="004455A2" w:rsidRPr="004455A2" w:rsidRDefault="004455A2" w:rsidP="004455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 xml:space="preserve">Drs. B. Suryosubroto, </w:t>
            </w:r>
            <w:r w:rsidRPr="004455A2">
              <w:rPr>
                <w:rFonts w:ascii="Cambria" w:hAnsi="Cambria" w:cs="Arial"/>
                <w:i/>
                <w:sz w:val="18"/>
                <w:szCs w:val="18"/>
              </w:rPr>
              <w:t>Manajemen Pendidikan di Sekolah</w:t>
            </w:r>
            <w:r w:rsidRPr="004455A2">
              <w:rPr>
                <w:rFonts w:ascii="Cambria" w:hAnsi="Cambria" w:cs="Arial"/>
                <w:sz w:val="18"/>
                <w:szCs w:val="18"/>
              </w:rPr>
              <w:t>, Jakarta: PT. Rineka Cipta, 2004</w:t>
            </w:r>
          </w:p>
          <w:p w:rsidR="004455A2" w:rsidRPr="00423C55" w:rsidRDefault="004455A2" w:rsidP="00423C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8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4455A2">
              <w:rPr>
                <w:rFonts w:ascii="Cambria" w:hAnsi="Cambria" w:cs="Arial"/>
                <w:sz w:val="18"/>
                <w:szCs w:val="18"/>
              </w:rPr>
              <w:t xml:space="preserve">Drs. H.M. Daryanto, </w:t>
            </w:r>
            <w:r w:rsidRPr="004455A2">
              <w:rPr>
                <w:rFonts w:ascii="Cambria" w:hAnsi="Cambria" w:cs="Arial"/>
                <w:i/>
                <w:sz w:val="18"/>
                <w:szCs w:val="18"/>
              </w:rPr>
              <w:t>Administrasi Pendidikan</w:t>
            </w:r>
            <w:r w:rsidRPr="004455A2">
              <w:rPr>
                <w:rFonts w:ascii="Cambria" w:hAnsi="Cambria" w:cs="Arial"/>
                <w:sz w:val="18"/>
                <w:szCs w:val="18"/>
              </w:rPr>
              <w:t>, Jakarta: PT. Rineka Cipta, 2005</w:t>
            </w:r>
            <w:bookmarkStart w:id="0" w:name="_GoBack"/>
            <w:bookmarkEnd w:id="0"/>
          </w:p>
        </w:tc>
      </w:tr>
    </w:tbl>
    <w:p w:rsidR="00E02A0C" w:rsidRPr="00E02A0C" w:rsidRDefault="00E02A0C" w:rsidP="004455A2">
      <w:pPr>
        <w:spacing w:after="0" w:line="240" w:lineRule="auto"/>
        <w:ind w:left="426"/>
        <w:rPr>
          <w:rFonts w:ascii="Cambria" w:hAnsi="Cambria"/>
          <w:sz w:val="16"/>
          <w:szCs w:val="16"/>
        </w:rPr>
      </w:pPr>
    </w:p>
    <w:sectPr w:rsidR="00E02A0C" w:rsidRPr="00E02A0C" w:rsidSect="004455A2">
      <w:pgSz w:w="16840" w:h="11907" w:orient="landscape" w:code="9"/>
      <w:pgMar w:top="709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6C"/>
    <w:multiLevelType w:val="hybridMultilevel"/>
    <w:tmpl w:val="C71648BE"/>
    <w:lvl w:ilvl="0" w:tplc="DB6AEE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576C"/>
    <w:multiLevelType w:val="hybridMultilevel"/>
    <w:tmpl w:val="6C78B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0FE8"/>
    <w:multiLevelType w:val="hybridMultilevel"/>
    <w:tmpl w:val="A962A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43A4"/>
    <w:multiLevelType w:val="hybridMultilevel"/>
    <w:tmpl w:val="269800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24EC3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F80C4AA">
      <w:start w:val="1"/>
      <w:numFmt w:val="decimal"/>
      <w:lvlText w:val="%4."/>
      <w:lvlJc w:val="left"/>
      <w:pPr>
        <w:ind w:left="2880" w:hanging="360"/>
      </w:pPr>
      <w:rPr>
        <w:b w:val="0"/>
        <w:lang w:val="id-ID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09DA"/>
    <w:multiLevelType w:val="hybridMultilevel"/>
    <w:tmpl w:val="3A3EAD18"/>
    <w:lvl w:ilvl="0" w:tplc="92B815BC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F57"/>
    <w:multiLevelType w:val="hybridMultilevel"/>
    <w:tmpl w:val="278C6FE4"/>
    <w:lvl w:ilvl="0" w:tplc="DECCF9BC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3FE"/>
    <w:multiLevelType w:val="hybridMultilevel"/>
    <w:tmpl w:val="E2F8E9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05BDA"/>
    <w:multiLevelType w:val="hybridMultilevel"/>
    <w:tmpl w:val="85D853B8"/>
    <w:lvl w:ilvl="0" w:tplc="33C46B42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25A"/>
    <w:multiLevelType w:val="hybridMultilevel"/>
    <w:tmpl w:val="F1FCF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1F04"/>
    <w:multiLevelType w:val="hybridMultilevel"/>
    <w:tmpl w:val="35F2D156"/>
    <w:lvl w:ilvl="0" w:tplc="2A544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879A1"/>
    <w:multiLevelType w:val="hybridMultilevel"/>
    <w:tmpl w:val="C22C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69D3"/>
    <w:multiLevelType w:val="hybridMultilevel"/>
    <w:tmpl w:val="220A4644"/>
    <w:lvl w:ilvl="0" w:tplc="1F42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249CB"/>
    <w:multiLevelType w:val="hybridMultilevel"/>
    <w:tmpl w:val="E2EAE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16E"/>
    <w:multiLevelType w:val="hybridMultilevel"/>
    <w:tmpl w:val="63961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E7289"/>
    <w:multiLevelType w:val="hybridMultilevel"/>
    <w:tmpl w:val="6FC8E17E"/>
    <w:lvl w:ilvl="0" w:tplc="B95ED77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82904"/>
    <w:multiLevelType w:val="hybridMultilevel"/>
    <w:tmpl w:val="F1E6C8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933A5"/>
    <w:multiLevelType w:val="hybridMultilevel"/>
    <w:tmpl w:val="36FAA204"/>
    <w:lvl w:ilvl="0" w:tplc="2A544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22EE"/>
    <w:multiLevelType w:val="hybridMultilevel"/>
    <w:tmpl w:val="D96A3E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F03F0"/>
    <w:multiLevelType w:val="hybridMultilevel"/>
    <w:tmpl w:val="4B464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60DAC"/>
    <w:multiLevelType w:val="hybridMultilevel"/>
    <w:tmpl w:val="745A0DA2"/>
    <w:lvl w:ilvl="0" w:tplc="2A544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024BC"/>
    <w:multiLevelType w:val="hybridMultilevel"/>
    <w:tmpl w:val="65C4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93C5E"/>
    <w:multiLevelType w:val="hybridMultilevel"/>
    <w:tmpl w:val="137CBD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C05EA"/>
    <w:multiLevelType w:val="hybridMultilevel"/>
    <w:tmpl w:val="A5A417E4"/>
    <w:lvl w:ilvl="0" w:tplc="0CC439BE">
      <w:start w:val="1"/>
      <w:numFmt w:val="decimal"/>
      <w:lvlText w:val="%1."/>
      <w:lvlJc w:val="left"/>
      <w:pPr>
        <w:ind w:left="720" w:hanging="360"/>
      </w:pPr>
      <w:rPr>
        <w:rFonts w:ascii="Book Antiqua,Bold" w:eastAsiaTheme="minorHAnsi" w:hAnsi="Book Antiqua,Bold" w:cs="Book Antiqua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18"/>
  </w:num>
  <w:num w:numId="7">
    <w:abstractNumId w:val="17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22"/>
  </w:num>
  <w:num w:numId="17">
    <w:abstractNumId w:val="14"/>
  </w:num>
  <w:num w:numId="18">
    <w:abstractNumId w:val="4"/>
  </w:num>
  <w:num w:numId="19">
    <w:abstractNumId w:val="5"/>
  </w:num>
  <w:num w:numId="20">
    <w:abstractNumId w:val="0"/>
  </w:num>
  <w:num w:numId="21">
    <w:abstractNumId w:val="19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2A0C"/>
    <w:rsid w:val="00070E12"/>
    <w:rsid w:val="00423C55"/>
    <w:rsid w:val="004455A2"/>
    <w:rsid w:val="00492287"/>
    <w:rsid w:val="004A67C3"/>
    <w:rsid w:val="004B759D"/>
    <w:rsid w:val="006E60AD"/>
    <w:rsid w:val="009069FF"/>
    <w:rsid w:val="00A0097D"/>
    <w:rsid w:val="00B93BF6"/>
    <w:rsid w:val="00C1771A"/>
    <w:rsid w:val="00DE7426"/>
    <w:rsid w:val="00E02A0C"/>
    <w:rsid w:val="00E85CBB"/>
    <w:rsid w:val="00ED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A0C"/>
    <w:pPr>
      <w:spacing w:after="200" w:line="276" w:lineRule="auto"/>
      <w:ind w:left="720"/>
      <w:contextualSpacing/>
    </w:pPr>
    <w:rPr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E02A0C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2A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Alvin Hadisaputra</dc:creator>
  <cp:lastModifiedBy>hp</cp:lastModifiedBy>
  <cp:revision>6</cp:revision>
  <dcterms:created xsi:type="dcterms:W3CDTF">2020-07-17T10:19:00Z</dcterms:created>
  <dcterms:modified xsi:type="dcterms:W3CDTF">2021-07-06T15:18:00Z</dcterms:modified>
</cp:coreProperties>
</file>